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16AD4" w14:textId="4ABD4AE5" w:rsidR="00517A51" w:rsidRPr="006D409C" w:rsidRDefault="00517A51" w:rsidP="003729DE">
      <w:pPr>
        <w:pStyle w:val="a5"/>
        <w:tabs>
          <w:tab w:val="right" w:pos="9781"/>
          <w:tab w:val="right" w:pos="13323"/>
        </w:tabs>
        <w:spacing w:before="60" w:after="60"/>
        <w:jc w:val="both"/>
        <w:outlineLvl w:val="0"/>
        <w:rPr>
          <w:rFonts w:eastAsia="宋体" w:cs="Arial"/>
          <w:b w:val="0"/>
          <w:sz w:val="24"/>
          <w:szCs w:val="24"/>
        </w:rPr>
      </w:pPr>
      <w:r w:rsidRPr="006D409C">
        <w:rPr>
          <w:rFonts w:eastAsia="宋体" w:cs="Arial"/>
          <w:sz w:val="24"/>
          <w:szCs w:val="24"/>
        </w:rPr>
        <w:t>3GPP TSG-RAN WG4 Meeting #110</w:t>
      </w:r>
      <w:r w:rsidR="003475B6">
        <w:rPr>
          <w:rFonts w:eastAsia="宋体" w:cs="Arial"/>
          <w:sz w:val="24"/>
          <w:szCs w:val="24"/>
        </w:rPr>
        <w:t>bis</w:t>
      </w:r>
      <w:r w:rsidRPr="006D409C">
        <w:rPr>
          <w:rFonts w:eastAsia="宋体" w:cs="Arial"/>
          <w:sz w:val="24"/>
          <w:szCs w:val="24"/>
        </w:rPr>
        <w:tab/>
      </w:r>
      <w:r w:rsidR="00101DF0" w:rsidRPr="00101DF0">
        <w:rPr>
          <w:rFonts w:eastAsia="宋体" w:cs="Arial"/>
          <w:sz w:val="24"/>
          <w:szCs w:val="24"/>
        </w:rPr>
        <w:t>R4-2404910</w:t>
      </w:r>
    </w:p>
    <w:p w14:paraId="7980ECDC" w14:textId="361348BB" w:rsidR="00940649" w:rsidRDefault="003475B6" w:rsidP="003729DE">
      <w:pPr>
        <w:tabs>
          <w:tab w:val="left" w:pos="1985"/>
        </w:tabs>
        <w:spacing w:after="120"/>
        <w:jc w:val="both"/>
        <w:rPr>
          <w:rFonts w:ascii="Arial" w:hAnsi="Arial" w:cs="Arial"/>
          <w:b/>
          <w:noProof/>
          <w:sz w:val="24"/>
          <w:lang w:val="en-US"/>
        </w:rPr>
      </w:pPr>
      <w:r w:rsidRPr="003475B6">
        <w:rPr>
          <w:rFonts w:ascii="Arial" w:eastAsia="宋体" w:hAnsi="Arial" w:cs="Arial"/>
          <w:b/>
          <w:noProof/>
          <w:sz w:val="24"/>
          <w:szCs w:val="24"/>
          <w:lang w:val="en-US" w:eastAsia="zh-CN"/>
        </w:rPr>
        <w:t>Changsha, China, 15th – 19th April, 2024</w:t>
      </w:r>
    </w:p>
    <w:p w14:paraId="16FC7694" w14:textId="32A42FD1" w:rsidR="00944BE5" w:rsidRPr="00B66FBB" w:rsidRDefault="00944BE5" w:rsidP="003729DE">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0" w:name="Source"/>
      <w:bookmarkEnd w:id="0"/>
      <w:r w:rsidRPr="00B66FBB">
        <w:rPr>
          <w:rFonts w:ascii="Arial" w:hAnsi="Arial" w:cs="Arial"/>
          <w:b/>
          <w:sz w:val="22"/>
          <w:szCs w:val="22"/>
          <w:lang w:val="en-US"/>
        </w:rPr>
        <w:tab/>
      </w:r>
      <w:r w:rsidR="00EC1939">
        <w:rPr>
          <w:rFonts w:ascii="Arial" w:hAnsi="Arial" w:cs="Arial"/>
          <w:b/>
          <w:sz w:val="22"/>
          <w:szCs w:val="22"/>
          <w:lang w:val="en-US"/>
        </w:rPr>
        <w:t>8</w:t>
      </w:r>
      <w:r w:rsidR="00101DF0">
        <w:rPr>
          <w:rFonts w:ascii="Arial" w:hAnsi="Arial" w:cs="Arial"/>
          <w:b/>
          <w:sz w:val="22"/>
          <w:szCs w:val="22"/>
          <w:lang w:val="en-US"/>
        </w:rPr>
        <w:t>.</w:t>
      </w:r>
      <w:r w:rsidR="00517A51">
        <w:rPr>
          <w:rFonts w:ascii="Arial" w:hAnsi="Arial" w:cs="Arial"/>
          <w:b/>
          <w:sz w:val="22"/>
          <w:szCs w:val="22"/>
          <w:lang w:val="en-US"/>
        </w:rPr>
        <w:t>1</w:t>
      </w:r>
      <w:r w:rsidR="003475B6">
        <w:rPr>
          <w:rFonts w:ascii="Arial" w:hAnsi="Arial" w:cs="Arial"/>
          <w:b/>
          <w:sz w:val="22"/>
          <w:szCs w:val="22"/>
          <w:lang w:val="en-US"/>
        </w:rPr>
        <w:t>4</w:t>
      </w:r>
      <w:r w:rsidR="00265A85" w:rsidRPr="00B66FBB">
        <w:rPr>
          <w:rFonts w:ascii="Arial" w:hAnsi="Arial" w:cs="Arial"/>
          <w:b/>
          <w:sz w:val="22"/>
          <w:szCs w:val="22"/>
          <w:lang w:val="en-US"/>
        </w:rPr>
        <w:t>.</w:t>
      </w:r>
      <w:r w:rsidR="003475B6">
        <w:rPr>
          <w:rFonts w:ascii="Arial" w:hAnsi="Arial" w:cs="Arial"/>
          <w:b/>
          <w:sz w:val="22"/>
          <w:szCs w:val="22"/>
          <w:lang w:val="en-US"/>
        </w:rPr>
        <w:t>1</w:t>
      </w:r>
      <w:r w:rsidR="00517A51">
        <w:rPr>
          <w:rFonts w:ascii="Arial" w:hAnsi="Arial" w:cs="Arial"/>
          <w:b/>
          <w:sz w:val="22"/>
          <w:szCs w:val="22"/>
          <w:lang w:val="en-US"/>
        </w:rPr>
        <w:t>.2</w:t>
      </w:r>
      <w:bookmarkStart w:id="1" w:name="_GoBack"/>
      <w:bookmarkEnd w:id="1"/>
    </w:p>
    <w:p w14:paraId="0FFEF949" w14:textId="78945E66" w:rsidR="00712CC1" w:rsidRPr="00B66FBB" w:rsidRDefault="00712CC1" w:rsidP="003729DE">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r>
      <w:r w:rsidR="00517A51">
        <w:rPr>
          <w:rFonts w:ascii="Arial" w:hAnsi="Arial" w:cs="Arial"/>
          <w:b/>
          <w:sz w:val="22"/>
          <w:szCs w:val="22"/>
          <w:lang w:val="en-US"/>
        </w:rPr>
        <w:t>OPPO</w:t>
      </w:r>
    </w:p>
    <w:p w14:paraId="43AE0FA1" w14:textId="236FFB21" w:rsidR="00712CC1" w:rsidRPr="00B75B70" w:rsidRDefault="00712CC1" w:rsidP="003729DE">
      <w:pPr>
        <w:tabs>
          <w:tab w:val="left" w:pos="1985"/>
        </w:tabs>
        <w:spacing w:after="120"/>
        <w:ind w:left="1980" w:hanging="1980"/>
        <w:jc w:val="both"/>
        <w:rPr>
          <w:rFonts w:ascii="Arial" w:hAnsi="Arial" w:cs="Arial"/>
          <w:b/>
          <w:sz w:val="22"/>
          <w:szCs w:val="22"/>
        </w:rPr>
      </w:pPr>
      <w:r w:rsidRPr="00B66FBB">
        <w:rPr>
          <w:rFonts w:ascii="Arial" w:hAnsi="Arial" w:cs="Arial"/>
          <w:b/>
          <w:sz w:val="22"/>
          <w:szCs w:val="22"/>
          <w:lang w:val="en-US"/>
        </w:rPr>
        <w:t>Title:</w:t>
      </w:r>
      <w:r w:rsidRPr="00B66FBB">
        <w:rPr>
          <w:rFonts w:ascii="Arial" w:hAnsi="Arial" w:cs="Arial"/>
          <w:b/>
          <w:sz w:val="22"/>
          <w:szCs w:val="22"/>
          <w:lang w:val="en-US"/>
        </w:rPr>
        <w:tab/>
      </w:r>
      <w:r w:rsidR="00430FFC" w:rsidRPr="00430FFC">
        <w:rPr>
          <w:rFonts w:ascii="Arial" w:hAnsi="Arial" w:cs="Arial"/>
          <w:b/>
          <w:sz w:val="22"/>
          <w:szCs w:val="22"/>
        </w:rPr>
        <w:t>Discussion on</w:t>
      </w:r>
      <w:r w:rsidR="00D34298">
        <w:rPr>
          <w:rFonts w:ascii="Arial" w:hAnsi="Arial" w:cs="Arial"/>
          <w:b/>
          <w:sz w:val="22"/>
          <w:szCs w:val="22"/>
        </w:rPr>
        <w:t xml:space="preserve"> test case of</w:t>
      </w:r>
      <w:r w:rsidR="00D34298" w:rsidRPr="00D34298">
        <w:t xml:space="preserve"> </w:t>
      </w:r>
      <w:r w:rsidR="00D34298">
        <w:rPr>
          <w:rFonts w:ascii="Arial" w:hAnsi="Arial" w:cs="Arial"/>
          <w:b/>
          <w:sz w:val="22"/>
          <w:szCs w:val="22"/>
        </w:rPr>
        <w:t>m</w:t>
      </w:r>
      <w:r w:rsidR="00D34298" w:rsidRPr="00D34298">
        <w:rPr>
          <w:rFonts w:ascii="Arial" w:hAnsi="Arial" w:cs="Arial"/>
          <w:b/>
          <w:sz w:val="22"/>
          <w:szCs w:val="22"/>
        </w:rPr>
        <w:t>easurement report for</w:t>
      </w:r>
      <w:r w:rsidR="00430FFC" w:rsidRPr="00430FFC">
        <w:rPr>
          <w:rFonts w:ascii="Arial" w:hAnsi="Arial" w:cs="Arial"/>
          <w:b/>
          <w:sz w:val="22"/>
          <w:szCs w:val="22"/>
        </w:rPr>
        <w:t xml:space="preserve"> </w:t>
      </w:r>
      <w:r w:rsidR="00D34298">
        <w:rPr>
          <w:rFonts w:ascii="Arial" w:hAnsi="Arial" w:cs="Arial"/>
          <w:b/>
          <w:sz w:val="22"/>
          <w:szCs w:val="22"/>
        </w:rPr>
        <w:t xml:space="preserve">fast </w:t>
      </w:r>
      <w:r w:rsidR="00D34298" w:rsidRPr="00D34298">
        <w:rPr>
          <w:rFonts w:ascii="Arial" w:hAnsi="Arial" w:cs="Arial"/>
          <w:b/>
          <w:sz w:val="22"/>
          <w:szCs w:val="22"/>
        </w:rPr>
        <w:t xml:space="preserve">CA/DC setup </w:t>
      </w:r>
    </w:p>
    <w:p w14:paraId="079A707A" w14:textId="77777777" w:rsidR="00712CC1" w:rsidRPr="00B66FBB" w:rsidRDefault="00712CC1" w:rsidP="003729DE">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3729DE">
      <w:pPr>
        <w:pStyle w:val="10"/>
        <w:numPr>
          <w:ilvl w:val="0"/>
          <w:numId w:val="10"/>
        </w:numPr>
        <w:pBdr>
          <w:top w:val="single" w:sz="12" w:space="2" w:color="auto"/>
        </w:pBdr>
        <w:jc w:val="both"/>
        <w:rPr>
          <w:sz w:val="32"/>
          <w:lang w:val="en-US"/>
        </w:rPr>
      </w:pPr>
      <w:r w:rsidRPr="00B66FBB">
        <w:rPr>
          <w:sz w:val="32"/>
          <w:lang w:val="en-US"/>
        </w:rPr>
        <w:t>Introduction</w:t>
      </w:r>
    </w:p>
    <w:p w14:paraId="36B009E0" w14:textId="30AFC74B" w:rsidR="00237DD3" w:rsidRDefault="00BF5623" w:rsidP="003729DE">
      <w:pPr>
        <w:jc w:val="both"/>
        <w:rPr>
          <w:lang w:val="en-US"/>
        </w:rPr>
      </w:pPr>
      <w:r w:rsidRPr="00BF5623">
        <w:rPr>
          <w:lang w:val="en-US"/>
        </w:rPr>
        <w:t>A WF</w:t>
      </w:r>
      <w:r w:rsidR="00B4274D">
        <w:rPr>
          <w:lang w:val="en-US"/>
        </w:rPr>
        <w:t xml:space="preserve"> </w:t>
      </w:r>
      <w:r w:rsidRPr="00BF5623">
        <w:rPr>
          <w:lang w:val="en-US"/>
        </w:rPr>
        <w:t>[1]</w:t>
      </w:r>
      <w:r>
        <w:rPr>
          <w:lang w:val="en-US"/>
        </w:rPr>
        <w:t xml:space="preserve"> on</w:t>
      </w:r>
      <w:r w:rsidRPr="00BF5623">
        <w:t xml:space="preserve"> </w:t>
      </w:r>
      <w:r w:rsidRPr="00BF5623">
        <w:rPr>
          <w:lang w:val="en-US"/>
        </w:rPr>
        <w:t>RRM requirements of R18 Further NR mobility enhancemen</w:t>
      </w:r>
      <w:r w:rsidR="003475B6">
        <w:rPr>
          <w:lang w:val="en-US"/>
        </w:rPr>
        <w:t xml:space="preserve">t- Part 2 </w:t>
      </w:r>
      <w:r>
        <w:rPr>
          <w:lang w:val="en-US"/>
        </w:rPr>
        <w:t>w</w:t>
      </w:r>
      <w:r w:rsidR="003475B6">
        <w:rPr>
          <w:lang w:val="en-US"/>
        </w:rPr>
        <w:t>as</w:t>
      </w:r>
      <w:r>
        <w:rPr>
          <w:lang w:val="en-US"/>
        </w:rPr>
        <w:t xml:space="preserve"> approved.</w:t>
      </w:r>
      <w:r w:rsidR="00B4274D">
        <w:rPr>
          <w:lang w:val="en-US"/>
        </w:rPr>
        <w:t xml:space="preserve"> </w:t>
      </w:r>
    </w:p>
    <w:p w14:paraId="7C17C025" w14:textId="4956A85C" w:rsidR="00B4274D" w:rsidRPr="00B4274D" w:rsidRDefault="00B4274D" w:rsidP="003729DE">
      <w:pPr>
        <w:jc w:val="both"/>
        <w:rPr>
          <w:rFonts w:eastAsiaTheme="minorEastAsia" w:cs="v4.2.0"/>
          <w:lang w:val="en-US" w:eastAsia="zh-CN"/>
        </w:rPr>
      </w:pPr>
      <w:r w:rsidRPr="00B66FBB">
        <w:rPr>
          <w:rFonts w:cs="v4.2.0"/>
          <w:lang w:val="en-US" w:eastAsia="zh-CN"/>
        </w:rPr>
        <w:t xml:space="preserve">In this contribution, we provide </w:t>
      </w:r>
      <w:r w:rsidR="003475B6">
        <w:rPr>
          <w:rFonts w:cs="v4.2.0"/>
          <w:lang w:val="en-US" w:eastAsia="zh-CN"/>
        </w:rPr>
        <w:t>our view on remaining open issues</w:t>
      </w:r>
      <w:r>
        <w:rPr>
          <w:bCs/>
        </w:rPr>
        <w:t xml:space="preserve"> of fast CA/DC setup.</w:t>
      </w:r>
    </w:p>
    <w:p w14:paraId="4B399A26" w14:textId="6731F163" w:rsidR="00766876" w:rsidRPr="003475B6" w:rsidRDefault="00712CC1" w:rsidP="003729DE">
      <w:pPr>
        <w:pStyle w:val="10"/>
        <w:numPr>
          <w:ilvl w:val="0"/>
          <w:numId w:val="10"/>
        </w:numPr>
        <w:pBdr>
          <w:top w:val="single" w:sz="12" w:space="2" w:color="auto"/>
        </w:pBdr>
        <w:jc w:val="both"/>
        <w:rPr>
          <w:sz w:val="32"/>
          <w:lang w:val="en-US"/>
        </w:rPr>
      </w:pPr>
      <w:r w:rsidRPr="00B66FBB">
        <w:rPr>
          <w:sz w:val="32"/>
          <w:lang w:val="en-US"/>
        </w:rPr>
        <w:t>Discussion</w:t>
      </w:r>
    </w:p>
    <w:tbl>
      <w:tblPr>
        <w:tblStyle w:val="aff"/>
        <w:tblW w:w="0" w:type="auto"/>
        <w:tblLook w:val="04A0" w:firstRow="1" w:lastRow="0" w:firstColumn="1" w:lastColumn="0" w:noHBand="0" w:noVBand="1"/>
      </w:tblPr>
      <w:tblGrid>
        <w:gridCol w:w="9629"/>
      </w:tblGrid>
      <w:tr w:rsidR="00BF5623" w14:paraId="7217ABA1" w14:textId="77777777" w:rsidTr="00BF5623">
        <w:tc>
          <w:tcPr>
            <w:tcW w:w="9629" w:type="dxa"/>
          </w:tcPr>
          <w:p w14:paraId="41E776C8" w14:textId="77777777" w:rsidR="003475B6" w:rsidRDefault="003475B6" w:rsidP="003729DE">
            <w:pPr>
              <w:jc w:val="both"/>
              <w:rPr>
                <w:b/>
                <w:bCs/>
                <w:color w:val="000000" w:themeColor="text1"/>
                <w:u w:val="single"/>
                <w:lang w:val="en-US" w:eastAsia="ko-KR"/>
              </w:rPr>
            </w:pPr>
            <w:r>
              <w:rPr>
                <w:b/>
                <w:color w:val="000000" w:themeColor="text1"/>
                <w:u w:val="single"/>
                <w:lang w:val="en-US" w:eastAsia="ko-KR"/>
              </w:rPr>
              <w:t>Issue 1-2: applicability of validity check</w:t>
            </w:r>
          </w:p>
          <w:p w14:paraId="67C4A567" w14:textId="77777777" w:rsidR="003475B6" w:rsidRDefault="003475B6" w:rsidP="003729DE">
            <w:pPr>
              <w:spacing w:after="120"/>
              <w:jc w:val="both"/>
              <w:rPr>
                <w:color w:val="000000" w:themeColor="text1"/>
                <w:lang w:val="en-US"/>
              </w:rPr>
            </w:pPr>
            <w:r>
              <w:rPr>
                <w:color w:val="000000" w:themeColor="text1"/>
                <w:lang w:val="en-US"/>
              </w:rPr>
              <w:t>FFS the following solution:</w:t>
            </w:r>
          </w:p>
          <w:p w14:paraId="7E0A5CF2" w14:textId="77777777" w:rsidR="003475B6" w:rsidRDefault="003475B6" w:rsidP="003729DE">
            <w:pPr>
              <w:pStyle w:val="affd"/>
              <w:widowControl/>
              <w:numPr>
                <w:ilvl w:val="0"/>
                <w:numId w:val="25"/>
              </w:numPr>
              <w:overflowPunct w:val="0"/>
              <w:spacing w:after="120" w:line="240" w:lineRule="auto"/>
              <w:ind w:firstLineChars="0"/>
              <w:jc w:val="both"/>
              <w:textAlignment w:val="baseline"/>
              <w:rPr>
                <w:color w:val="000000" w:themeColor="text1"/>
                <w:lang w:val="en-US"/>
              </w:rPr>
            </w:pPr>
            <w:r>
              <w:rPr>
                <w:color w:val="000000" w:themeColor="text1"/>
                <w:lang w:val="en-US"/>
              </w:rPr>
              <w:t xml:space="preserve">The validity check is not applicable to </w:t>
            </w:r>
          </w:p>
          <w:p w14:paraId="6E9CABC5" w14:textId="77777777" w:rsidR="003475B6" w:rsidRDefault="003475B6" w:rsidP="003729DE">
            <w:pPr>
              <w:pStyle w:val="affd"/>
              <w:widowControl/>
              <w:numPr>
                <w:ilvl w:val="1"/>
                <w:numId w:val="25"/>
              </w:numPr>
              <w:overflowPunct w:val="0"/>
              <w:spacing w:after="120" w:line="240" w:lineRule="auto"/>
              <w:ind w:firstLineChars="0"/>
              <w:jc w:val="both"/>
              <w:textAlignment w:val="baseline"/>
              <w:rPr>
                <w:color w:val="000000" w:themeColor="text1"/>
                <w:lang w:val="en-US"/>
              </w:rPr>
            </w:pPr>
            <w:r>
              <w:rPr>
                <w:color w:val="000000" w:themeColor="text1"/>
                <w:lang w:val="en-US"/>
              </w:rPr>
              <w:t xml:space="preserve">Any measurements during IDLE/INACTIVE but no included in configuration of R18 CA/DC setup improvement. </w:t>
            </w:r>
          </w:p>
          <w:p w14:paraId="0B768826" w14:textId="77777777" w:rsidR="003475B6" w:rsidRDefault="003475B6" w:rsidP="003729DE">
            <w:pPr>
              <w:pStyle w:val="affd"/>
              <w:widowControl/>
              <w:numPr>
                <w:ilvl w:val="1"/>
                <w:numId w:val="25"/>
              </w:numPr>
              <w:overflowPunct w:val="0"/>
              <w:spacing w:after="120" w:line="240" w:lineRule="auto"/>
              <w:ind w:firstLineChars="0"/>
              <w:jc w:val="both"/>
              <w:textAlignment w:val="baseline"/>
              <w:rPr>
                <w:color w:val="000000" w:themeColor="text1"/>
                <w:lang w:val="en-US"/>
              </w:rPr>
            </w:pPr>
            <w:r>
              <w:rPr>
                <w:color w:val="000000" w:themeColor="text1"/>
                <w:lang w:val="en-US"/>
              </w:rPr>
              <w:t xml:space="preserve">Any measurements during CONNECTED mode. </w:t>
            </w:r>
          </w:p>
          <w:p w14:paraId="6E208EEA" w14:textId="668F8833" w:rsidR="00BF5623" w:rsidRPr="003475B6" w:rsidRDefault="003475B6" w:rsidP="003729DE">
            <w:pPr>
              <w:pStyle w:val="affd"/>
              <w:widowControl/>
              <w:numPr>
                <w:ilvl w:val="0"/>
                <w:numId w:val="25"/>
              </w:numPr>
              <w:overflowPunct w:val="0"/>
              <w:spacing w:after="120" w:line="240" w:lineRule="auto"/>
              <w:ind w:firstLineChars="0"/>
              <w:jc w:val="both"/>
              <w:textAlignment w:val="baseline"/>
              <w:rPr>
                <w:color w:val="000000" w:themeColor="text1"/>
                <w:lang w:val="en-US"/>
              </w:rPr>
            </w:pPr>
            <w:r>
              <w:rPr>
                <w:color w:val="000000" w:themeColor="text1"/>
                <w:lang w:val="en-US"/>
              </w:rPr>
              <w:t xml:space="preserve">Support of R18 CA/DC setup improvement shall have no impact on R16 EMR reporting </w:t>
            </w:r>
            <w:r w:rsidR="00E260D0">
              <w:rPr>
                <w:color w:val="000000" w:themeColor="text1"/>
                <w:lang w:val="en-US"/>
              </w:rPr>
              <w:t>behavior</w:t>
            </w:r>
            <w:r>
              <w:rPr>
                <w:color w:val="000000" w:themeColor="text1"/>
                <w:lang w:val="en-US"/>
              </w:rPr>
              <w:t xml:space="preserve">. </w:t>
            </w:r>
          </w:p>
        </w:tc>
      </w:tr>
    </w:tbl>
    <w:p w14:paraId="300932A4" w14:textId="77777777" w:rsidR="00297A05" w:rsidRPr="00A606F8" w:rsidRDefault="00BE22E1" w:rsidP="003729DE">
      <w:pPr>
        <w:jc w:val="both"/>
        <w:rPr>
          <w:iCs/>
          <w:lang w:val="en-US" w:eastAsia="ja-JP"/>
        </w:rPr>
      </w:pPr>
      <w:r>
        <w:rPr>
          <w:iCs/>
          <w:lang w:val="en-US" w:eastAsia="ja-JP"/>
        </w:rPr>
        <w:t xml:space="preserve">As EMR is not </w:t>
      </w:r>
      <w:r w:rsidRPr="00BE22E1">
        <w:rPr>
          <w:iCs/>
          <w:lang w:val="en-US" w:eastAsia="ja-JP"/>
        </w:rPr>
        <w:t>prerequisites</w:t>
      </w:r>
      <w:r>
        <w:rPr>
          <w:iCs/>
          <w:lang w:val="en-US" w:eastAsia="ja-JP"/>
        </w:rPr>
        <w:t xml:space="preserve"> of the solution of existing measurements</w:t>
      </w:r>
      <w:r w:rsidRPr="00BE22E1">
        <w:rPr>
          <w:lang w:val="en-US"/>
        </w:rPr>
        <w:t xml:space="preserve"> </w:t>
      </w:r>
      <w:r w:rsidRPr="00BF5623">
        <w:rPr>
          <w:lang w:val="en-US"/>
        </w:rPr>
        <w:t>for fast CA/DC setup</w:t>
      </w:r>
      <w:r>
        <w:rPr>
          <w:lang w:val="en-US"/>
        </w:rPr>
        <w:t>.</w:t>
      </w:r>
      <w:r w:rsidR="00297A05">
        <w:rPr>
          <w:lang w:val="en-US"/>
        </w:rPr>
        <w:t xml:space="preserve"> </w:t>
      </w:r>
      <w:r w:rsidR="00297A05" w:rsidRPr="00297A05">
        <w:rPr>
          <w:lang w:val="en-US"/>
        </w:rPr>
        <w:t>A UE supporting solution based on existing measurement shall report the idle mode measurement results on the inter-frequency CA and DC candidate frequencies/cells</w:t>
      </w:r>
      <w:r w:rsidR="00297A05">
        <w:rPr>
          <w:lang w:val="en-US"/>
        </w:rPr>
        <w:t>.</w:t>
      </w:r>
      <w:r w:rsidR="00297A05" w:rsidRPr="00297A05">
        <w:rPr>
          <w:lang w:val="en-US"/>
        </w:rPr>
        <w:t xml:space="preserve"> The UE shall perform idle mode measurements provided that the serving cell support early measurement</w:t>
      </w:r>
      <w:r w:rsidR="00297A05">
        <w:rPr>
          <w:lang w:val="en-US"/>
        </w:rPr>
        <w:t xml:space="preserve">, but not limited to supporting EMR. </w:t>
      </w:r>
    </w:p>
    <w:p w14:paraId="77DB6161" w14:textId="28F9108B" w:rsidR="003475B6" w:rsidRDefault="003475B6" w:rsidP="003729DE">
      <w:pPr>
        <w:spacing w:after="120"/>
        <w:jc w:val="both"/>
        <w:rPr>
          <w:color w:val="000000" w:themeColor="text1"/>
          <w:lang w:val="en-US"/>
        </w:rPr>
      </w:pPr>
      <w:r>
        <w:rPr>
          <w:color w:val="000000" w:themeColor="text1"/>
          <w:lang w:val="en-US"/>
        </w:rPr>
        <w:t>Thus, we agree that t</w:t>
      </w:r>
      <w:r w:rsidRPr="003475B6">
        <w:rPr>
          <w:color w:val="000000" w:themeColor="text1"/>
          <w:lang w:val="en-US"/>
        </w:rPr>
        <w:t xml:space="preserve">he validity check is not applicable to </w:t>
      </w:r>
      <w:r>
        <w:rPr>
          <w:color w:val="000000" w:themeColor="text1"/>
          <w:lang w:val="en-US"/>
        </w:rPr>
        <w:t xml:space="preserve">any measurements during IDLE/INACTIVE but no included in configuration of R18 CA/DC setup improvement. </w:t>
      </w:r>
    </w:p>
    <w:p w14:paraId="0C394773" w14:textId="08D44F59" w:rsidR="00B22932" w:rsidRPr="00B22932" w:rsidRDefault="00B22932" w:rsidP="003729DE">
      <w:pPr>
        <w:spacing w:after="120"/>
        <w:jc w:val="both"/>
        <w:rPr>
          <w:b/>
          <w:color w:val="000000" w:themeColor="text1"/>
          <w:lang w:val="en-US"/>
        </w:rPr>
      </w:pPr>
      <w:r w:rsidRPr="00B22932">
        <w:rPr>
          <w:rFonts w:eastAsiaTheme="minorEastAsia"/>
          <w:b/>
          <w:color w:val="000000" w:themeColor="text1"/>
          <w:lang w:val="en-US" w:eastAsia="zh-CN"/>
        </w:rPr>
        <w:t xml:space="preserve">Proposal 1: </w:t>
      </w:r>
      <w:r w:rsidRPr="00B22932">
        <w:rPr>
          <w:b/>
          <w:color w:val="000000" w:themeColor="text1"/>
          <w:lang w:val="en-US"/>
        </w:rPr>
        <w:t xml:space="preserve">The validity check is not applicable to any measurements during IDLE/INACTIVE but no included in configuration of R18 CA/DC setup improvement. </w:t>
      </w:r>
    </w:p>
    <w:p w14:paraId="75FC7065" w14:textId="40D69C73" w:rsidR="00B22932" w:rsidRPr="00B22932" w:rsidRDefault="00B22932" w:rsidP="003729DE">
      <w:pPr>
        <w:spacing w:after="120"/>
        <w:jc w:val="both"/>
        <w:rPr>
          <w:rFonts w:eastAsiaTheme="minorEastAsia"/>
          <w:color w:val="000000" w:themeColor="text1"/>
          <w:lang w:val="en-US" w:eastAsia="zh-CN"/>
        </w:rPr>
      </w:pPr>
    </w:p>
    <w:p w14:paraId="4F788201" w14:textId="62ABC618" w:rsidR="006741C9" w:rsidRDefault="003475B6" w:rsidP="003729DE">
      <w:pPr>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E260D0">
        <w:rPr>
          <w:rFonts w:eastAsiaTheme="minorEastAsia"/>
          <w:lang w:eastAsia="zh-CN"/>
        </w:rPr>
        <w:t xml:space="preserve">any measurements during Connected mode, we think at least in R18 RAN4 has not reached any consensus to support validity report including </w:t>
      </w:r>
      <w:r w:rsidR="00E260D0">
        <w:rPr>
          <w:rFonts w:eastAsiaTheme="minorEastAsia" w:hint="eastAsia"/>
          <w:lang w:eastAsia="zh-CN"/>
        </w:rPr>
        <w:t>measurement</w:t>
      </w:r>
      <w:r w:rsidR="00E260D0">
        <w:rPr>
          <w:rFonts w:eastAsiaTheme="minorEastAsia"/>
          <w:lang w:eastAsia="zh-CN"/>
        </w:rPr>
        <w:t xml:space="preserve"> </w:t>
      </w:r>
      <w:r w:rsidR="00E260D0">
        <w:rPr>
          <w:rFonts w:eastAsiaTheme="minorEastAsia" w:hint="eastAsia"/>
          <w:lang w:eastAsia="zh-CN"/>
        </w:rPr>
        <w:t>results</w:t>
      </w:r>
      <w:r w:rsidR="00E260D0">
        <w:rPr>
          <w:rFonts w:eastAsiaTheme="minorEastAsia"/>
          <w:lang w:eastAsia="zh-CN"/>
        </w:rPr>
        <w:t xml:space="preserve"> </w:t>
      </w:r>
      <w:r w:rsidR="00E260D0">
        <w:rPr>
          <w:rFonts w:eastAsiaTheme="minorEastAsia" w:hint="eastAsia"/>
          <w:lang w:eastAsia="zh-CN"/>
        </w:rPr>
        <w:t>after</w:t>
      </w:r>
      <w:r w:rsidR="00E260D0">
        <w:rPr>
          <w:rFonts w:eastAsiaTheme="minorEastAsia"/>
          <w:lang w:eastAsia="zh-CN"/>
        </w:rPr>
        <w:t xml:space="preserve"> </w:t>
      </w:r>
      <w:r w:rsidR="00E260D0">
        <w:rPr>
          <w:rFonts w:eastAsiaTheme="minorEastAsia" w:hint="eastAsia"/>
          <w:lang w:eastAsia="zh-CN"/>
        </w:rPr>
        <w:t>UE</w:t>
      </w:r>
      <w:r w:rsidR="00E260D0">
        <w:rPr>
          <w:rFonts w:eastAsiaTheme="minorEastAsia"/>
          <w:lang w:eastAsia="zh-CN"/>
        </w:rPr>
        <w:t xml:space="preserve"> </w:t>
      </w:r>
      <w:r w:rsidR="00E260D0">
        <w:rPr>
          <w:rFonts w:eastAsiaTheme="minorEastAsia" w:hint="eastAsia"/>
          <w:lang w:eastAsia="zh-CN"/>
        </w:rPr>
        <w:t>entered</w:t>
      </w:r>
      <w:r w:rsidR="00E260D0">
        <w:rPr>
          <w:rFonts w:eastAsiaTheme="minorEastAsia"/>
          <w:lang w:eastAsia="zh-CN"/>
        </w:rPr>
        <w:t xml:space="preserve"> </w:t>
      </w:r>
      <w:r w:rsidR="00E260D0">
        <w:rPr>
          <w:rFonts w:eastAsiaTheme="minorEastAsia" w:hint="eastAsia"/>
          <w:lang w:eastAsia="zh-CN"/>
        </w:rPr>
        <w:t>RRC</w:t>
      </w:r>
      <w:r w:rsidR="00E260D0">
        <w:rPr>
          <w:rFonts w:eastAsiaTheme="minorEastAsia"/>
          <w:lang w:eastAsia="zh-CN"/>
        </w:rPr>
        <w:t xml:space="preserve"> </w:t>
      </w:r>
      <w:r w:rsidR="00E260D0">
        <w:rPr>
          <w:rFonts w:eastAsiaTheme="minorEastAsia" w:hint="eastAsia"/>
          <w:lang w:eastAsia="zh-CN"/>
        </w:rPr>
        <w:t>connected</w:t>
      </w:r>
      <w:r w:rsidR="00E260D0">
        <w:rPr>
          <w:rFonts w:eastAsiaTheme="minorEastAsia"/>
          <w:lang w:eastAsia="zh-CN"/>
        </w:rPr>
        <w:t xml:space="preserve"> </w:t>
      </w:r>
      <w:r w:rsidR="00E260D0">
        <w:rPr>
          <w:rFonts w:eastAsiaTheme="minorEastAsia" w:hint="eastAsia"/>
          <w:lang w:eastAsia="zh-CN"/>
        </w:rPr>
        <w:t>mode.</w:t>
      </w:r>
      <w:r w:rsidR="00E260D0">
        <w:rPr>
          <w:rFonts w:eastAsiaTheme="minorEastAsia"/>
          <w:lang w:eastAsia="zh-CN"/>
        </w:rPr>
        <w:t xml:space="preserve"> </w:t>
      </w:r>
      <w:r w:rsidR="00B22932">
        <w:rPr>
          <w:rFonts w:eastAsiaTheme="minorEastAsia"/>
          <w:lang w:eastAsia="zh-CN"/>
        </w:rPr>
        <w:t>Generally,</w:t>
      </w:r>
      <w:r w:rsidR="00E260D0">
        <w:rPr>
          <w:rFonts w:eastAsiaTheme="minorEastAsia"/>
          <w:lang w:eastAsia="zh-CN"/>
        </w:rPr>
        <w:t xml:space="preserve"> we are ok to not specify any requirements or validity check rule for this case, but also think it is not necessary to </w:t>
      </w:r>
      <w:r w:rsidR="00B22932">
        <w:rPr>
          <w:rFonts w:eastAsiaTheme="minorEastAsia"/>
          <w:lang w:eastAsia="zh-CN"/>
        </w:rPr>
        <w:t xml:space="preserve">explicitly state it in the spec of 38.133. Anyway, it is up to UE </w:t>
      </w:r>
      <w:r w:rsidR="00B22932">
        <w:rPr>
          <w:rFonts w:eastAsiaTheme="minorEastAsia" w:hint="eastAsia"/>
          <w:lang w:eastAsia="zh-CN"/>
        </w:rPr>
        <w:t>implementation</w:t>
      </w:r>
      <w:r w:rsidR="00B22932">
        <w:rPr>
          <w:rFonts w:eastAsiaTheme="minorEastAsia"/>
          <w:lang w:eastAsia="zh-CN"/>
        </w:rPr>
        <w:t>.</w:t>
      </w:r>
      <w:r w:rsidR="00E260D0">
        <w:rPr>
          <w:rFonts w:eastAsiaTheme="minorEastAsia"/>
          <w:lang w:eastAsia="zh-CN"/>
        </w:rPr>
        <w:t xml:space="preserve"> </w:t>
      </w:r>
    </w:p>
    <w:p w14:paraId="361CD488" w14:textId="43DEC129" w:rsidR="00B22932" w:rsidRDefault="00B22932" w:rsidP="003729DE">
      <w:pPr>
        <w:spacing w:after="120"/>
        <w:jc w:val="both"/>
        <w:rPr>
          <w:b/>
          <w:color w:val="000000" w:themeColor="text1"/>
          <w:lang w:val="en-US"/>
        </w:rPr>
      </w:pPr>
      <w:r w:rsidRPr="00B22932">
        <w:rPr>
          <w:rFonts w:eastAsiaTheme="minorEastAsia"/>
          <w:b/>
          <w:color w:val="000000" w:themeColor="text1"/>
          <w:lang w:val="en-US" w:eastAsia="zh-CN"/>
        </w:rPr>
        <w:t xml:space="preserve">Proposal </w:t>
      </w:r>
      <w:r>
        <w:rPr>
          <w:rFonts w:eastAsiaTheme="minorEastAsia"/>
          <w:b/>
          <w:color w:val="000000" w:themeColor="text1"/>
          <w:lang w:val="en-US" w:eastAsia="zh-CN"/>
        </w:rPr>
        <w:t>2</w:t>
      </w:r>
      <w:r w:rsidRPr="00B22932">
        <w:rPr>
          <w:rFonts w:eastAsiaTheme="minorEastAsia"/>
          <w:b/>
          <w:color w:val="000000" w:themeColor="text1"/>
          <w:lang w:val="en-US" w:eastAsia="zh-CN"/>
        </w:rPr>
        <w:t xml:space="preserve">: </w:t>
      </w:r>
      <w:r>
        <w:rPr>
          <w:rFonts w:eastAsiaTheme="minorEastAsia" w:hint="eastAsia"/>
          <w:b/>
          <w:color w:val="000000" w:themeColor="text1"/>
          <w:lang w:val="en-US" w:eastAsia="zh-CN"/>
        </w:rPr>
        <w:t>No</w:t>
      </w:r>
      <w:r>
        <w:rPr>
          <w:rFonts w:eastAsiaTheme="minorEastAsia"/>
          <w:b/>
          <w:color w:val="000000" w:themeColor="text1"/>
          <w:lang w:val="en-US" w:eastAsia="zh-CN"/>
        </w:rPr>
        <w:t xml:space="preserve"> requirements are defined</w:t>
      </w:r>
      <w:r w:rsidRPr="00B22932">
        <w:rPr>
          <w:rFonts w:eastAsiaTheme="minorEastAsia"/>
          <w:b/>
          <w:color w:val="000000" w:themeColor="text1"/>
          <w:lang w:val="en-US" w:eastAsia="zh-CN"/>
        </w:rPr>
        <w:t xml:space="preserve"> </w:t>
      </w:r>
      <w:r>
        <w:rPr>
          <w:rFonts w:eastAsiaTheme="minorEastAsia"/>
          <w:b/>
          <w:color w:val="000000" w:themeColor="text1"/>
          <w:lang w:val="en-US" w:eastAsia="zh-CN"/>
        </w:rPr>
        <w:t xml:space="preserve">for </w:t>
      </w:r>
      <w:r w:rsidRPr="00B22932">
        <w:rPr>
          <w:b/>
          <w:color w:val="000000" w:themeColor="text1"/>
          <w:lang w:val="en-US"/>
        </w:rPr>
        <w:t>validity check</w:t>
      </w:r>
      <w:r>
        <w:rPr>
          <w:rFonts w:eastAsiaTheme="minorEastAsia"/>
          <w:b/>
          <w:color w:val="000000" w:themeColor="text1"/>
          <w:lang w:val="en-US" w:eastAsia="zh-CN"/>
        </w:rPr>
        <w:t xml:space="preserve"> considering any measurements during connected mode </w:t>
      </w:r>
      <w:r>
        <w:rPr>
          <w:b/>
          <w:color w:val="000000" w:themeColor="text1"/>
          <w:lang w:val="en-US"/>
        </w:rPr>
        <w:t>in R18.</w:t>
      </w:r>
    </w:p>
    <w:p w14:paraId="53A508B3" w14:textId="77777777" w:rsidR="003729DE" w:rsidRDefault="003729DE" w:rsidP="003729DE">
      <w:pPr>
        <w:spacing w:after="120"/>
        <w:jc w:val="both"/>
        <w:rPr>
          <w:b/>
          <w:color w:val="000000" w:themeColor="text1"/>
          <w:lang w:val="en-US"/>
        </w:rPr>
      </w:pPr>
    </w:p>
    <w:p w14:paraId="71FF8488" w14:textId="5E088F65" w:rsidR="00B22932" w:rsidRPr="003729DE" w:rsidRDefault="00B22932" w:rsidP="003729DE">
      <w:pPr>
        <w:spacing w:after="120"/>
        <w:jc w:val="both"/>
        <w:rPr>
          <w:color w:val="000000" w:themeColor="text1"/>
          <w:lang w:val="en-US"/>
        </w:rPr>
      </w:pPr>
      <w:r>
        <w:rPr>
          <w:color w:val="000000" w:themeColor="text1"/>
          <w:lang w:val="en-US"/>
        </w:rPr>
        <w:t>In our view, RAN4 has agreed and triggered RAN2 to support R</w:t>
      </w:r>
      <w:r w:rsidRPr="003729DE">
        <w:rPr>
          <w:rFonts w:eastAsiaTheme="minorEastAsia"/>
          <w:lang w:eastAsia="zh-CN"/>
        </w:rPr>
        <w:t xml:space="preserve">18 CA/DC setup improvement with new reporting procedure and configuration. It could be based on </w:t>
      </w:r>
      <w:r w:rsidR="00C344D8" w:rsidRPr="003729DE">
        <w:rPr>
          <w:rFonts w:eastAsiaTheme="minorEastAsia"/>
          <w:lang w:eastAsia="zh-CN"/>
        </w:rPr>
        <w:t xml:space="preserve">but also </w:t>
      </w:r>
      <w:r w:rsidRPr="003729DE">
        <w:rPr>
          <w:rFonts w:eastAsiaTheme="minorEastAsia"/>
          <w:lang w:eastAsia="zh-CN"/>
        </w:rPr>
        <w:t>different from R16 EMR reporting.</w:t>
      </w:r>
      <w:r w:rsidR="00C344D8" w:rsidRPr="003729DE">
        <w:rPr>
          <w:rFonts w:eastAsiaTheme="minorEastAsia"/>
          <w:lang w:eastAsia="zh-CN"/>
        </w:rPr>
        <w:t xml:space="preserve"> So</w:t>
      </w:r>
      <w:r w:rsidR="003729DE" w:rsidRPr="003729DE">
        <w:rPr>
          <w:rFonts w:eastAsiaTheme="minorEastAsia" w:hint="eastAsia"/>
          <w:lang w:eastAsia="zh-CN"/>
        </w:rPr>
        <w:t>,</w:t>
      </w:r>
      <w:r w:rsidR="003729DE">
        <w:rPr>
          <w:rFonts w:eastAsiaTheme="minorEastAsia"/>
          <w:lang w:eastAsia="zh-CN"/>
        </w:rPr>
        <w:t xml:space="preserve"> </w:t>
      </w:r>
      <w:r w:rsidR="00C344D8" w:rsidRPr="003729DE">
        <w:rPr>
          <w:rFonts w:eastAsiaTheme="minorEastAsia"/>
          <w:lang w:eastAsia="zh-CN"/>
        </w:rPr>
        <w:t>we think it makes sense that either UE or network that supports both R18 CA/DC setup improvement</w:t>
      </w:r>
      <w:r w:rsidR="003729DE" w:rsidRPr="003729DE">
        <w:rPr>
          <w:rFonts w:eastAsiaTheme="minorEastAsia"/>
          <w:lang w:eastAsia="zh-CN"/>
        </w:rPr>
        <w:t>, the corresponding measurement requirements defined in clause 4.4.2 or clause 4.2.2 for EMR carrier or non-E</w:t>
      </w:r>
      <w:r w:rsidR="003729DE" w:rsidRPr="003729DE">
        <w:rPr>
          <w:rFonts w:eastAsiaTheme="minorEastAsia" w:hint="eastAsia"/>
          <w:lang w:eastAsia="zh-CN"/>
        </w:rPr>
        <w:t>MR</w:t>
      </w:r>
      <w:r w:rsidR="003729DE" w:rsidRPr="003729DE">
        <w:rPr>
          <w:rFonts w:eastAsiaTheme="minorEastAsia"/>
          <w:lang w:eastAsia="zh-CN"/>
        </w:rPr>
        <w:t xml:space="preserve"> carrier are defined cleared. </w:t>
      </w:r>
      <w:r w:rsidR="00C344D8" w:rsidRPr="003729DE">
        <w:rPr>
          <w:rFonts w:eastAsiaTheme="minorEastAsia"/>
          <w:lang w:eastAsia="zh-CN"/>
        </w:rPr>
        <w:t>R16 EMR reporting.</w:t>
      </w:r>
      <w:r w:rsidR="003729DE" w:rsidRPr="003729DE">
        <w:rPr>
          <w:rFonts w:eastAsiaTheme="minorEastAsia"/>
          <w:lang w:eastAsia="zh-CN"/>
        </w:rPr>
        <w:t xml:space="preserve"> </w:t>
      </w:r>
      <w:r w:rsidR="003729DE" w:rsidRPr="003729DE">
        <w:rPr>
          <w:rFonts w:eastAsiaTheme="minorEastAsia" w:hint="eastAsia"/>
          <w:lang w:eastAsia="zh-CN"/>
        </w:rPr>
        <w:t>It</w:t>
      </w:r>
      <w:r w:rsidR="003729DE" w:rsidRPr="003729DE">
        <w:rPr>
          <w:rFonts w:eastAsiaTheme="minorEastAsia"/>
          <w:lang w:eastAsia="zh-CN"/>
        </w:rPr>
        <w:t xml:space="preserve"> </w:t>
      </w:r>
      <w:r w:rsidR="003729DE" w:rsidRPr="003729DE">
        <w:rPr>
          <w:rFonts w:eastAsiaTheme="minorEastAsia" w:hint="eastAsia"/>
          <w:lang w:eastAsia="zh-CN"/>
        </w:rPr>
        <w:t>has</w:t>
      </w:r>
      <w:r w:rsidR="003729DE" w:rsidRPr="003729DE">
        <w:rPr>
          <w:rFonts w:eastAsiaTheme="minorEastAsia"/>
          <w:lang w:eastAsia="zh-CN"/>
        </w:rPr>
        <w:t xml:space="preserve"> no impact on R16 EMR reporting behavior. </w:t>
      </w:r>
      <w:r w:rsidR="003729DE" w:rsidRPr="003729DE">
        <w:rPr>
          <w:rFonts w:eastAsiaTheme="minorEastAsia" w:hint="eastAsia"/>
          <w:lang w:eastAsia="zh-CN"/>
        </w:rPr>
        <w:t>And</w:t>
      </w:r>
      <w:r w:rsidR="003729DE" w:rsidRPr="003729DE">
        <w:rPr>
          <w:rFonts w:eastAsiaTheme="minorEastAsia"/>
          <w:lang w:eastAsia="zh-CN"/>
        </w:rPr>
        <w:t xml:space="preserve"> </w:t>
      </w:r>
      <w:r w:rsidR="00C344D8" w:rsidRPr="003729DE">
        <w:rPr>
          <w:rFonts w:eastAsiaTheme="minorEastAsia"/>
          <w:lang w:eastAsia="zh-CN"/>
        </w:rPr>
        <w:t>there are no forward compatibility issues</w:t>
      </w:r>
    </w:p>
    <w:p w14:paraId="798D204B" w14:textId="10FE3438" w:rsidR="00B22932" w:rsidRPr="003729DE" w:rsidRDefault="003729DE" w:rsidP="003729DE">
      <w:pPr>
        <w:jc w:val="both"/>
        <w:rPr>
          <w:rFonts w:eastAsiaTheme="minorEastAsia"/>
          <w:b/>
          <w:lang w:val="en-US" w:eastAsia="zh-CN"/>
        </w:rPr>
      </w:pPr>
      <w:r w:rsidRPr="003729DE">
        <w:rPr>
          <w:rFonts w:eastAsiaTheme="minorEastAsia" w:hint="eastAsia"/>
          <w:b/>
          <w:lang w:val="en-US" w:eastAsia="zh-CN"/>
        </w:rPr>
        <w:t>P</w:t>
      </w:r>
      <w:r w:rsidRPr="003729DE">
        <w:rPr>
          <w:rFonts w:eastAsiaTheme="minorEastAsia"/>
          <w:b/>
          <w:lang w:val="en-US" w:eastAsia="zh-CN"/>
        </w:rPr>
        <w:t>roposal 3: N</w:t>
      </w:r>
      <w:r w:rsidRPr="003729DE">
        <w:rPr>
          <w:rFonts w:eastAsiaTheme="minorEastAsia"/>
          <w:b/>
          <w:lang w:eastAsia="zh-CN"/>
        </w:rPr>
        <w:t>o forward compatibility issues are identified for UE and network s</w:t>
      </w:r>
      <w:r w:rsidRPr="003729DE">
        <w:rPr>
          <w:b/>
          <w:color w:val="000000" w:themeColor="text1"/>
        </w:rPr>
        <w:t>upporting</w:t>
      </w:r>
      <w:r w:rsidRPr="003729DE">
        <w:rPr>
          <w:b/>
          <w:color w:val="000000" w:themeColor="text1"/>
          <w:lang w:val="en-US"/>
        </w:rPr>
        <w:t xml:space="preserve"> R18 CA/DC setup improvement.</w:t>
      </w:r>
    </w:p>
    <w:p w14:paraId="06C92962" w14:textId="77777777" w:rsidR="00712CC1" w:rsidRPr="00B66FBB" w:rsidRDefault="00712CC1" w:rsidP="003729DE">
      <w:pPr>
        <w:pStyle w:val="10"/>
        <w:numPr>
          <w:ilvl w:val="0"/>
          <w:numId w:val="10"/>
        </w:numPr>
        <w:pBdr>
          <w:top w:val="single" w:sz="12" w:space="2" w:color="auto"/>
        </w:pBdr>
        <w:jc w:val="both"/>
        <w:rPr>
          <w:sz w:val="32"/>
          <w:lang w:val="en-US"/>
        </w:rPr>
      </w:pPr>
      <w:r w:rsidRPr="00B66FBB">
        <w:rPr>
          <w:sz w:val="32"/>
          <w:lang w:val="en-US"/>
        </w:rPr>
        <w:lastRenderedPageBreak/>
        <w:t>Conclusion</w:t>
      </w:r>
    </w:p>
    <w:p w14:paraId="76347C80" w14:textId="14F7DFAD" w:rsidR="00771F30" w:rsidRDefault="005D4A3C" w:rsidP="003729DE">
      <w:pPr>
        <w:jc w:val="both"/>
        <w:rPr>
          <w:bCs/>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provide</w:t>
      </w:r>
      <w:r w:rsidR="00B4274D">
        <w:rPr>
          <w:bCs/>
        </w:rPr>
        <w:t xml:space="preserve"> our views on fast CA/DC setup.</w:t>
      </w:r>
    </w:p>
    <w:p w14:paraId="266C7C50" w14:textId="044CAF17" w:rsidR="003729DE" w:rsidRPr="003729DE" w:rsidRDefault="003729DE" w:rsidP="003729DE">
      <w:pPr>
        <w:spacing w:after="120"/>
        <w:jc w:val="both"/>
        <w:rPr>
          <w:b/>
          <w:color w:val="000000" w:themeColor="text1"/>
          <w:lang w:val="en-US"/>
        </w:rPr>
      </w:pPr>
      <w:r w:rsidRPr="00B22932">
        <w:rPr>
          <w:rFonts w:eastAsiaTheme="minorEastAsia"/>
          <w:b/>
          <w:color w:val="000000" w:themeColor="text1"/>
          <w:lang w:val="en-US" w:eastAsia="zh-CN"/>
        </w:rPr>
        <w:t xml:space="preserve">Proposal 1: </w:t>
      </w:r>
      <w:r w:rsidRPr="00B22932">
        <w:rPr>
          <w:b/>
          <w:color w:val="000000" w:themeColor="text1"/>
          <w:lang w:val="en-US"/>
        </w:rPr>
        <w:t xml:space="preserve">The validity check is not applicable to any measurements during IDLE/INACTIVE but no included in configuration of R18 CA/DC setup improvement. </w:t>
      </w:r>
    </w:p>
    <w:p w14:paraId="6493C48F" w14:textId="77777777" w:rsidR="003729DE" w:rsidRDefault="003729DE" w:rsidP="003729DE">
      <w:pPr>
        <w:spacing w:after="120"/>
        <w:jc w:val="both"/>
        <w:rPr>
          <w:b/>
          <w:color w:val="000000" w:themeColor="text1"/>
          <w:lang w:val="en-US"/>
        </w:rPr>
      </w:pPr>
      <w:r w:rsidRPr="00B22932">
        <w:rPr>
          <w:rFonts w:eastAsiaTheme="minorEastAsia"/>
          <w:b/>
          <w:color w:val="000000" w:themeColor="text1"/>
          <w:lang w:val="en-US" w:eastAsia="zh-CN"/>
        </w:rPr>
        <w:t xml:space="preserve">Proposal </w:t>
      </w:r>
      <w:r>
        <w:rPr>
          <w:rFonts w:eastAsiaTheme="minorEastAsia"/>
          <w:b/>
          <w:color w:val="000000" w:themeColor="text1"/>
          <w:lang w:val="en-US" w:eastAsia="zh-CN"/>
        </w:rPr>
        <w:t>2</w:t>
      </w:r>
      <w:r w:rsidRPr="00B22932">
        <w:rPr>
          <w:rFonts w:eastAsiaTheme="minorEastAsia"/>
          <w:b/>
          <w:color w:val="000000" w:themeColor="text1"/>
          <w:lang w:val="en-US" w:eastAsia="zh-CN"/>
        </w:rPr>
        <w:t xml:space="preserve">: </w:t>
      </w:r>
      <w:r>
        <w:rPr>
          <w:rFonts w:eastAsiaTheme="minorEastAsia" w:hint="eastAsia"/>
          <w:b/>
          <w:color w:val="000000" w:themeColor="text1"/>
          <w:lang w:val="en-US" w:eastAsia="zh-CN"/>
        </w:rPr>
        <w:t>No</w:t>
      </w:r>
      <w:r>
        <w:rPr>
          <w:rFonts w:eastAsiaTheme="minorEastAsia"/>
          <w:b/>
          <w:color w:val="000000" w:themeColor="text1"/>
          <w:lang w:val="en-US" w:eastAsia="zh-CN"/>
        </w:rPr>
        <w:t xml:space="preserve"> requirements are defined</w:t>
      </w:r>
      <w:r w:rsidRPr="00B22932">
        <w:rPr>
          <w:rFonts w:eastAsiaTheme="minorEastAsia"/>
          <w:b/>
          <w:color w:val="000000" w:themeColor="text1"/>
          <w:lang w:val="en-US" w:eastAsia="zh-CN"/>
        </w:rPr>
        <w:t xml:space="preserve"> </w:t>
      </w:r>
      <w:r>
        <w:rPr>
          <w:rFonts w:eastAsiaTheme="minorEastAsia"/>
          <w:b/>
          <w:color w:val="000000" w:themeColor="text1"/>
          <w:lang w:val="en-US" w:eastAsia="zh-CN"/>
        </w:rPr>
        <w:t xml:space="preserve">for </w:t>
      </w:r>
      <w:r w:rsidRPr="00B22932">
        <w:rPr>
          <w:b/>
          <w:color w:val="000000" w:themeColor="text1"/>
          <w:lang w:val="en-US"/>
        </w:rPr>
        <w:t>validity check</w:t>
      </w:r>
      <w:r>
        <w:rPr>
          <w:rFonts w:eastAsiaTheme="minorEastAsia"/>
          <w:b/>
          <w:color w:val="000000" w:themeColor="text1"/>
          <w:lang w:val="en-US" w:eastAsia="zh-CN"/>
        </w:rPr>
        <w:t xml:space="preserve"> considering any measurements during connected mode </w:t>
      </w:r>
      <w:r>
        <w:rPr>
          <w:b/>
          <w:color w:val="000000" w:themeColor="text1"/>
          <w:lang w:val="en-US"/>
        </w:rPr>
        <w:t>in R18.</w:t>
      </w:r>
    </w:p>
    <w:p w14:paraId="76CFFB89" w14:textId="445F7B86" w:rsidR="00EB2B00" w:rsidRPr="003729DE" w:rsidRDefault="003729DE" w:rsidP="003729DE">
      <w:pPr>
        <w:jc w:val="both"/>
        <w:rPr>
          <w:rFonts w:eastAsiaTheme="minorEastAsia"/>
          <w:b/>
          <w:lang w:val="en-US" w:eastAsia="zh-CN"/>
        </w:rPr>
      </w:pPr>
      <w:r w:rsidRPr="003729DE">
        <w:rPr>
          <w:rFonts w:eastAsiaTheme="minorEastAsia" w:hint="eastAsia"/>
          <w:b/>
          <w:lang w:val="en-US" w:eastAsia="zh-CN"/>
        </w:rPr>
        <w:t>P</w:t>
      </w:r>
      <w:r w:rsidRPr="003729DE">
        <w:rPr>
          <w:rFonts w:eastAsiaTheme="minorEastAsia"/>
          <w:b/>
          <w:lang w:val="en-US" w:eastAsia="zh-CN"/>
        </w:rPr>
        <w:t>roposal 3: N</w:t>
      </w:r>
      <w:r w:rsidRPr="003729DE">
        <w:rPr>
          <w:rFonts w:eastAsiaTheme="minorEastAsia"/>
          <w:b/>
          <w:lang w:eastAsia="zh-CN"/>
        </w:rPr>
        <w:t>o forward compatibility issues are identified for UE and network s</w:t>
      </w:r>
      <w:r w:rsidRPr="003729DE">
        <w:rPr>
          <w:b/>
          <w:color w:val="000000" w:themeColor="text1"/>
        </w:rPr>
        <w:t>upporting</w:t>
      </w:r>
      <w:r w:rsidRPr="003729DE">
        <w:rPr>
          <w:b/>
          <w:color w:val="000000" w:themeColor="text1"/>
          <w:lang w:val="en-US"/>
        </w:rPr>
        <w:t xml:space="preserve"> R18 CA/DC setup improvement.</w:t>
      </w:r>
    </w:p>
    <w:p w14:paraId="72E53931" w14:textId="0001ADEE" w:rsidR="00712CC1" w:rsidRPr="00B66FBB" w:rsidRDefault="00712CC1" w:rsidP="003729DE">
      <w:pPr>
        <w:pStyle w:val="10"/>
        <w:numPr>
          <w:ilvl w:val="0"/>
          <w:numId w:val="10"/>
        </w:numPr>
        <w:pBdr>
          <w:top w:val="single" w:sz="12" w:space="2" w:color="auto"/>
        </w:pBdr>
        <w:jc w:val="both"/>
        <w:rPr>
          <w:sz w:val="32"/>
          <w:lang w:val="en-US"/>
        </w:rPr>
      </w:pPr>
      <w:r w:rsidRPr="00B66FBB">
        <w:rPr>
          <w:sz w:val="32"/>
          <w:lang w:val="en-US"/>
        </w:rPr>
        <w:t>References</w:t>
      </w:r>
    </w:p>
    <w:p w14:paraId="785BB785" w14:textId="5E3FE602" w:rsidR="00BF5623" w:rsidRPr="003475B6" w:rsidRDefault="005C3D3E" w:rsidP="003729DE">
      <w:pPr>
        <w:pStyle w:val="Reference"/>
        <w:keepLines/>
        <w:numPr>
          <w:ilvl w:val="0"/>
          <w:numId w:val="12"/>
        </w:numPr>
        <w:jc w:val="both"/>
        <w:rPr>
          <w:bCs/>
          <w:lang w:val="en-US"/>
        </w:rPr>
      </w:pPr>
      <w:r w:rsidRPr="005C3D3E">
        <w:rPr>
          <w:bCs/>
        </w:rPr>
        <w:t>R4-2</w:t>
      </w:r>
      <w:r w:rsidR="003475B6">
        <w:rPr>
          <w:bCs/>
        </w:rPr>
        <w:t>403548</w:t>
      </w:r>
      <w:r w:rsidR="00BF5623">
        <w:rPr>
          <w:bCs/>
        </w:rPr>
        <w:t>,</w:t>
      </w:r>
      <w:r w:rsidR="00BF5623" w:rsidRPr="00BF5623">
        <w:rPr>
          <w:lang w:val="en-US"/>
        </w:rPr>
        <w:t xml:space="preserve"> </w:t>
      </w:r>
      <w:r w:rsidR="003475B6" w:rsidRPr="003475B6">
        <w:rPr>
          <w:lang w:val="en-US"/>
        </w:rPr>
        <w:t>WF on R18 Further NR mobility enhancement – part 2</w:t>
      </w:r>
      <w:r w:rsidRPr="005C3D3E">
        <w:rPr>
          <w:bCs/>
        </w:rPr>
        <w:t>, Apple</w:t>
      </w:r>
    </w:p>
    <w:sectPr w:rsidR="00BF5623" w:rsidRPr="003475B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EBB5D" w14:textId="77777777" w:rsidR="00444CA0" w:rsidRDefault="00444CA0">
      <w:pPr>
        <w:spacing w:after="0"/>
      </w:pPr>
      <w:r>
        <w:separator/>
      </w:r>
    </w:p>
  </w:endnote>
  <w:endnote w:type="continuationSeparator" w:id="0">
    <w:p w14:paraId="72FB0684" w14:textId="77777777" w:rsidR="00444CA0" w:rsidRDefault="00444CA0">
      <w:pPr>
        <w:spacing w:after="0"/>
      </w:pPr>
      <w:r>
        <w:continuationSeparator/>
      </w:r>
    </w:p>
  </w:endnote>
  <w:endnote w:type="continuationNotice" w:id="1">
    <w:p w14:paraId="64517AF8" w14:textId="77777777" w:rsidR="00444CA0" w:rsidRDefault="00444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ì."/>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BC990" w14:textId="77777777" w:rsidR="00444CA0" w:rsidRDefault="00444CA0">
      <w:pPr>
        <w:spacing w:after="0"/>
      </w:pPr>
      <w:r>
        <w:separator/>
      </w:r>
    </w:p>
  </w:footnote>
  <w:footnote w:type="continuationSeparator" w:id="0">
    <w:p w14:paraId="6BFCB990" w14:textId="77777777" w:rsidR="00444CA0" w:rsidRDefault="00444CA0">
      <w:pPr>
        <w:spacing w:after="0"/>
      </w:pPr>
      <w:r>
        <w:continuationSeparator/>
      </w:r>
    </w:p>
  </w:footnote>
  <w:footnote w:type="continuationNotice" w:id="1">
    <w:p w14:paraId="7907742F" w14:textId="77777777" w:rsidR="00444CA0" w:rsidRDefault="00444C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21"/>
  </w:num>
  <w:num w:numId="12">
    <w:abstractNumId w:val="11"/>
  </w:num>
  <w:num w:numId="13">
    <w:abstractNumId w:val="0"/>
  </w:num>
  <w:num w:numId="14">
    <w:abstractNumId w:val="14"/>
  </w:num>
  <w:num w:numId="15">
    <w:abstractNumId w:val="7"/>
  </w:num>
  <w:num w:numId="16">
    <w:abstractNumId w:val="10"/>
  </w:num>
  <w:num w:numId="17">
    <w:abstractNumId w:val="1"/>
  </w:num>
  <w:num w:numId="18">
    <w:abstractNumId w:val="6"/>
  </w:num>
  <w:num w:numId="19">
    <w:abstractNumId w:val="19"/>
  </w:num>
  <w:num w:numId="20">
    <w:abstractNumId w:val="12"/>
  </w:num>
  <w:num w:numId="21">
    <w:abstractNumId w:val="13"/>
  </w:num>
  <w:num w:numId="22">
    <w:abstractNumId w:val="5"/>
  </w:num>
  <w:num w:numId="23">
    <w:abstractNumId w:val="23"/>
  </w:num>
  <w:num w:numId="24">
    <w:abstractNumId w:val="22"/>
  </w:num>
  <w:num w:numId="25">
    <w:abstractNumId w:val="18"/>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09"/>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847"/>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0FA7"/>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07"/>
    <w:rsid w:val="00050957"/>
    <w:rsid w:val="00051788"/>
    <w:rsid w:val="00051C39"/>
    <w:rsid w:val="000523C0"/>
    <w:rsid w:val="000527A5"/>
    <w:rsid w:val="000531E5"/>
    <w:rsid w:val="00053372"/>
    <w:rsid w:val="00053B21"/>
    <w:rsid w:val="000544C0"/>
    <w:rsid w:val="000549FC"/>
    <w:rsid w:val="00054A94"/>
    <w:rsid w:val="00054BC2"/>
    <w:rsid w:val="00054FF4"/>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6F4"/>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6C6E"/>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428"/>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867"/>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1DF0"/>
    <w:rsid w:val="00102195"/>
    <w:rsid w:val="00102C01"/>
    <w:rsid w:val="0010478B"/>
    <w:rsid w:val="00104EFB"/>
    <w:rsid w:val="00105280"/>
    <w:rsid w:val="00105513"/>
    <w:rsid w:val="00105CD5"/>
    <w:rsid w:val="00106747"/>
    <w:rsid w:val="00106D28"/>
    <w:rsid w:val="00106FFC"/>
    <w:rsid w:val="001076A9"/>
    <w:rsid w:val="001103CA"/>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C98"/>
    <w:rsid w:val="00122F78"/>
    <w:rsid w:val="0012346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90C"/>
    <w:rsid w:val="00142D5B"/>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57A1D"/>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4A5"/>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1CC5"/>
    <w:rsid w:val="001D3529"/>
    <w:rsid w:val="001D5057"/>
    <w:rsid w:val="001D54B0"/>
    <w:rsid w:val="001D5DEE"/>
    <w:rsid w:val="001D5F09"/>
    <w:rsid w:val="001D6D1A"/>
    <w:rsid w:val="001D6E9F"/>
    <w:rsid w:val="001D6F61"/>
    <w:rsid w:val="001D714B"/>
    <w:rsid w:val="001D71A8"/>
    <w:rsid w:val="001D74F3"/>
    <w:rsid w:val="001D799B"/>
    <w:rsid w:val="001D7AF6"/>
    <w:rsid w:val="001D7C1B"/>
    <w:rsid w:val="001D7CC1"/>
    <w:rsid w:val="001E0341"/>
    <w:rsid w:val="001E03E0"/>
    <w:rsid w:val="001E0729"/>
    <w:rsid w:val="001E0BF5"/>
    <w:rsid w:val="001E112D"/>
    <w:rsid w:val="001E138E"/>
    <w:rsid w:val="001E1705"/>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1FB"/>
    <w:rsid w:val="00236B44"/>
    <w:rsid w:val="002379CE"/>
    <w:rsid w:val="00237B29"/>
    <w:rsid w:val="00237CD3"/>
    <w:rsid w:val="00237DD3"/>
    <w:rsid w:val="00237E67"/>
    <w:rsid w:val="00237F96"/>
    <w:rsid w:val="002401B6"/>
    <w:rsid w:val="002408BE"/>
    <w:rsid w:val="00240E7C"/>
    <w:rsid w:val="00240F39"/>
    <w:rsid w:val="00241281"/>
    <w:rsid w:val="00241F81"/>
    <w:rsid w:val="002421A4"/>
    <w:rsid w:val="002428B5"/>
    <w:rsid w:val="00242B77"/>
    <w:rsid w:val="00243013"/>
    <w:rsid w:val="0024363C"/>
    <w:rsid w:val="00243BE8"/>
    <w:rsid w:val="0024560E"/>
    <w:rsid w:val="00245B24"/>
    <w:rsid w:val="00246B61"/>
    <w:rsid w:val="00246DCF"/>
    <w:rsid w:val="00246EFF"/>
    <w:rsid w:val="0024705C"/>
    <w:rsid w:val="00247919"/>
    <w:rsid w:val="00247AF0"/>
    <w:rsid w:val="002500FA"/>
    <w:rsid w:val="00250218"/>
    <w:rsid w:val="00250262"/>
    <w:rsid w:val="002509D0"/>
    <w:rsid w:val="002522F9"/>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4AC"/>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25F"/>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227"/>
    <w:rsid w:val="00284F70"/>
    <w:rsid w:val="002859FE"/>
    <w:rsid w:val="00285D24"/>
    <w:rsid w:val="0028616A"/>
    <w:rsid w:val="00287178"/>
    <w:rsid w:val="002876B9"/>
    <w:rsid w:val="0028784E"/>
    <w:rsid w:val="00287876"/>
    <w:rsid w:val="00290927"/>
    <w:rsid w:val="00290F5B"/>
    <w:rsid w:val="0029155B"/>
    <w:rsid w:val="0029162F"/>
    <w:rsid w:val="00291C33"/>
    <w:rsid w:val="002932DC"/>
    <w:rsid w:val="00293944"/>
    <w:rsid w:val="00293B1A"/>
    <w:rsid w:val="0029419C"/>
    <w:rsid w:val="002941B3"/>
    <w:rsid w:val="002953B0"/>
    <w:rsid w:val="002954CC"/>
    <w:rsid w:val="00296947"/>
    <w:rsid w:val="00296D99"/>
    <w:rsid w:val="002970B0"/>
    <w:rsid w:val="0029720E"/>
    <w:rsid w:val="002976F9"/>
    <w:rsid w:val="00297A05"/>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51A"/>
    <w:rsid w:val="002B5728"/>
    <w:rsid w:val="002B5B5D"/>
    <w:rsid w:val="002B607F"/>
    <w:rsid w:val="002B68F9"/>
    <w:rsid w:val="002B7430"/>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2378"/>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28"/>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35"/>
    <w:rsid w:val="002F1056"/>
    <w:rsid w:val="002F11D7"/>
    <w:rsid w:val="002F12F5"/>
    <w:rsid w:val="002F1451"/>
    <w:rsid w:val="002F1B6C"/>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475B6"/>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91A"/>
    <w:rsid w:val="00360F8E"/>
    <w:rsid w:val="00361092"/>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29DE"/>
    <w:rsid w:val="00373385"/>
    <w:rsid w:val="003738E7"/>
    <w:rsid w:val="00373EA5"/>
    <w:rsid w:val="0037410B"/>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D7F"/>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1AC"/>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5EF"/>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2A5"/>
    <w:rsid w:val="003D1376"/>
    <w:rsid w:val="003D2575"/>
    <w:rsid w:val="003D2A0A"/>
    <w:rsid w:val="003D47C3"/>
    <w:rsid w:val="003D4BD9"/>
    <w:rsid w:val="003D4CEC"/>
    <w:rsid w:val="003D4EF2"/>
    <w:rsid w:val="003D59D5"/>
    <w:rsid w:val="003D5DEA"/>
    <w:rsid w:val="003D6073"/>
    <w:rsid w:val="003D60AC"/>
    <w:rsid w:val="003D64C4"/>
    <w:rsid w:val="003D753D"/>
    <w:rsid w:val="003D771B"/>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BC4"/>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07F69"/>
    <w:rsid w:val="00410167"/>
    <w:rsid w:val="00410876"/>
    <w:rsid w:val="00411C70"/>
    <w:rsid w:val="00411CE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0FFC"/>
    <w:rsid w:val="00431A03"/>
    <w:rsid w:val="00431EF6"/>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CA0"/>
    <w:rsid w:val="00444F50"/>
    <w:rsid w:val="004453BD"/>
    <w:rsid w:val="00445F80"/>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21AF"/>
    <w:rsid w:val="00473228"/>
    <w:rsid w:val="0047368C"/>
    <w:rsid w:val="00473BEF"/>
    <w:rsid w:val="00473C7C"/>
    <w:rsid w:val="00474181"/>
    <w:rsid w:val="00474920"/>
    <w:rsid w:val="00474C95"/>
    <w:rsid w:val="00474F08"/>
    <w:rsid w:val="0047511F"/>
    <w:rsid w:val="00475291"/>
    <w:rsid w:val="004758C5"/>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694"/>
    <w:rsid w:val="004B77FC"/>
    <w:rsid w:val="004C00A5"/>
    <w:rsid w:val="004C04DF"/>
    <w:rsid w:val="004C094C"/>
    <w:rsid w:val="004C0BD4"/>
    <w:rsid w:val="004C0C33"/>
    <w:rsid w:val="004C0E80"/>
    <w:rsid w:val="004C3603"/>
    <w:rsid w:val="004C41CF"/>
    <w:rsid w:val="004C41DC"/>
    <w:rsid w:val="004C4764"/>
    <w:rsid w:val="004C48D3"/>
    <w:rsid w:val="004C4AF0"/>
    <w:rsid w:val="004C4B28"/>
    <w:rsid w:val="004C5887"/>
    <w:rsid w:val="004C60BB"/>
    <w:rsid w:val="004C6266"/>
    <w:rsid w:val="004C74E9"/>
    <w:rsid w:val="004C7E84"/>
    <w:rsid w:val="004C7F1F"/>
    <w:rsid w:val="004C7F5B"/>
    <w:rsid w:val="004D0471"/>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4795"/>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A51"/>
    <w:rsid w:val="00517C19"/>
    <w:rsid w:val="00517FC9"/>
    <w:rsid w:val="00520C98"/>
    <w:rsid w:val="00520CA6"/>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1CC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12"/>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586"/>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B79C4"/>
    <w:rsid w:val="005C0853"/>
    <w:rsid w:val="005C0A57"/>
    <w:rsid w:val="005C0C36"/>
    <w:rsid w:val="005C0C42"/>
    <w:rsid w:val="005C0E8F"/>
    <w:rsid w:val="005C109C"/>
    <w:rsid w:val="005C187E"/>
    <w:rsid w:val="005C19C4"/>
    <w:rsid w:val="005C23E3"/>
    <w:rsid w:val="005C258C"/>
    <w:rsid w:val="005C2E98"/>
    <w:rsid w:val="005C3741"/>
    <w:rsid w:val="005C3D3E"/>
    <w:rsid w:val="005C3FFD"/>
    <w:rsid w:val="005C41B8"/>
    <w:rsid w:val="005C470A"/>
    <w:rsid w:val="005C4AA4"/>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46E"/>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5E86"/>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5DA"/>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5E94"/>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4FD0"/>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1E75"/>
    <w:rsid w:val="00672D22"/>
    <w:rsid w:val="00673128"/>
    <w:rsid w:val="00673261"/>
    <w:rsid w:val="00673D7E"/>
    <w:rsid w:val="006741C9"/>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383"/>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2CF8"/>
    <w:rsid w:val="006F31B8"/>
    <w:rsid w:val="006F3318"/>
    <w:rsid w:val="006F392B"/>
    <w:rsid w:val="006F3F4C"/>
    <w:rsid w:val="006F4EAF"/>
    <w:rsid w:val="006F4F07"/>
    <w:rsid w:val="006F5135"/>
    <w:rsid w:val="006F53CB"/>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264"/>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8C9"/>
    <w:rsid w:val="00725918"/>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43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876"/>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76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6CD4"/>
    <w:rsid w:val="00797130"/>
    <w:rsid w:val="007973AD"/>
    <w:rsid w:val="00797465"/>
    <w:rsid w:val="00797890"/>
    <w:rsid w:val="00797C3B"/>
    <w:rsid w:val="007A02E7"/>
    <w:rsid w:val="007A05B1"/>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1C1"/>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30"/>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2B6F"/>
    <w:rsid w:val="007C33DB"/>
    <w:rsid w:val="007C374E"/>
    <w:rsid w:val="007C37EC"/>
    <w:rsid w:val="007C3E4F"/>
    <w:rsid w:val="007C45B7"/>
    <w:rsid w:val="007C4773"/>
    <w:rsid w:val="007C4944"/>
    <w:rsid w:val="007C4CB1"/>
    <w:rsid w:val="007C5235"/>
    <w:rsid w:val="007C54B7"/>
    <w:rsid w:val="007C66BD"/>
    <w:rsid w:val="007C758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0E4"/>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C2C"/>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2B3"/>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67A23"/>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2FD8"/>
    <w:rsid w:val="008837EB"/>
    <w:rsid w:val="00883B0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A764F"/>
    <w:rsid w:val="008A7BDC"/>
    <w:rsid w:val="008B0B5B"/>
    <w:rsid w:val="008B1371"/>
    <w:rsid w:val="008B191F"/>
    <w:rsid w:val="008B1E12"/>
    <w:rsid w:val="008B20FD"/>
    <w:rsid w:val="008B2281"/>
    <w:rsid w:val="008B2DE0"/>
    <w:rsid w:val="008B3A95"/>
    <w:rsid w:val="008B41B3"/>
    <w:rsid w:val="008B461C"/>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2D9"/>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801"/>
    <w:rsid w:val="008E0ABC"/>
    <w:rsid w:val="008E1572"/>
    <w:rsid w:val="008E15D3"/>
    <w:rsid w:val="008E1B1C"/>
    <w:rsid w:val="008E1BBC"/>
    <w:rsid w:val="008E2D2C"/>
    <w:rsid w:val="008E2F46"/>
    <w:rsid w:val="008E3007"/>
    <w:rsid w:val="008E34DE"/>
    <w:rsid w:val="008E41B2"/>
    <w:rsid w:val="008E4447"/>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C0D"/>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57EBE"/>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67713"/>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5FEE"/>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20"/>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4C3"/>
    <w:rsid w:val="009D1827"/>
    <w:rsid w:val="009D2190"/>
    <w:rsid w:val="009D22DF"/>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47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9E9"/>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6F8"/>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8C9"/>
    <w:rsid w:val="00A84BFA"/>
    <w:rsid w:val="00A84F17"/>
    <w:rsid w:val="00A852A7"/>
    <w:rsid w:val="00A85C59"/>
    <w:rsid w:val="00A85D24"/>
    <w:rsid w:val="00A85F4A"/>
    <w:rsid w:val="00A85FBC"/>
    <w:rsid w:val="00A86053"/>
    <w:rsid w:val="00A875AF"/>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8B9"/>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A2A"/>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96"/>
    <w:rsid w:val="00B131B8"/>
    <w:rsid w:val="00B13A19"/>
    <w:rsid w:val="00B13AEB"/>
    <w:rsid w:val="00B13E08"/>
    <w:rsid w:val="00B14182"/>
    <w:rsid w:val="00B14494"/>
    <w:rsid w:val="00B15C0B"/>
    <w:rsid w:val="00B15D2E"/>
    <w:rsid w:val="00B15E55"/>
    <w:rsid w:val="00B16A96"/>
    <w:rsid w:val="00B176A1"/>
    <w:rsid w:val="00B17F57"/>
    <w:rsid w:val="00B20128"/>
    <w:rsid w:val="00B2048B"/>
    <w:rsid w:val="00B20A16"/>
    <w:rsid w:val="00B21156"/>
    <w:rsid w:val="00B21715"/>
    <w:rsid w:val="00B22932"/>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51C"/>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74D"/>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91"/>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3F0"/>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0C"/>
    <w:rsid w:val="00B83429"/>
    <w:rsid w:val="00B83769"/>
    <w:rsid w:val="00B83795"/>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22E1"/>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387"/>
    <w:rsid w:val="00BF556F"/>
    <w:rsid w:val="00BF5623"/>
    <w:rsid w:val="00BF58B4"/>
    <w:rsid w:val="00BF6968"/>
    <w:rsid w:val="00BF76BA"/>
    <w:rsid w:val="00BF78A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18B"/>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4D8"/>
    <w:rsid w:val="00C3497F"/>
    <w:rsid w:val="00C34E41"/>
    <w:rsid w:val="00C3546E"/>
    <w:rsid w:val="00C35CFA"/>
    <w:rsid w:val="00C35E15"/>
    <w:rsid w:val="00C35E2B"/>
    <w:rsid w:val="00C37113"/>
    <w:rsid w:val="00C37ABC"/>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E23"/>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83"/>
    <w:rsid w:val="00C708AB"/>
    <w:rsid w:val="00C70C2A"/>
    <w:rsid w:val="00C70DE2"/>
    <w:rsid w:val="00C71854"/>
    <w:rsid w:val="00C72A48"/>
    <w:rsid w:val="00C72CCA"/>
    <w:rsid w:val="00C72D5D"/>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795"/>
    <w:rsid w:val="00CB0C4A"/>
    <w:rsid w:val="00CB1050"/>
    <w:rsid w:val="00CB10D5"/>
    <w:rsid w:val="00CB131E"/>
    <w:rsid w:val="00CB1549"/>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5BE"/>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819"/>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145"/>
    <w:rsid w:val="00D334D2"/>
    <w:rsid w:val="00D33604"/>
    <w:rsid w:val="00D33AA9"/>
    <w:rsid w:val="00D33B00"/>
    <w:rsid w:val="00D34215"/>
    <w:rsid w:val="00D34298"/>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113"/>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6A64"/>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24B"/>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923"/>
    <w:rsid w:val="00DB5C73"/>
    <w:rsid w:val="00DB5CFB"/>
    <w:rsid w:val="00DB5D5D"/>
    <w:rsid w:val="00DB603E"/>
    <w:rsid w:val="00DB63D7"/>
    <w:rsid w:val="00DB6548"/>
    <w:rsid w:val="00DB6757"/>
    <w:rsid w:val="00DB69F6"/>
    <w:rsid w:val="00DB6C8D"/>
    <w:rsid w:val="00DB6FAC"/>
    <w:rsid w:val="00DB7018"/>
    <w:rsid w:val="00DB7494"/>
    <w:rsid w:val="00DB7755"/>
    <w:rsid w:val="00DB7887"/>
    <w:rsid w:val="00DB7B72"/>
    <w:rsid w:val="00DB7E66"/>
    <w:rsid w:val="00DC0AE6"/>
    <w:rsid w:val="00DC13E9"/>
    <w:rsid w:val="00DC152D"/>
    <w:rsid w:val="00DC17B1"/>
    <w:rsid w:val="00DC1B93"/>
    <w:rsid w:val="00DC265A"/>
    <w:rsid w:val="00DC326D"/>
    <w:rsid w:val="00DC3325"/>
    <w:rsid w:val="00DC3395"/>
    <w:rsid w:val="00DC35A2"/>
    <w:rsid w:val="00DC3A74"/>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879"/>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9F5"/>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A1A"/>
    <w:rsid w:val="00E22C9F"/>
    <w:rsid w:val="00E231C5"/>
    <w:rsid w:val="00E23B5A"/>
    <w:rsid w:val="00E23DB1"/>
    <w:rsid w:val="00E23DC8"/>
    <w:rsid w:val="00E248E8"/>
    <w:rsid w:val="00E24990"/>
    <w:rsid w:val="00E25719"/>
    <w:rsid w:val="00E25818"/>
    <w:rsid w:val="00E25BF5"/>
    <w:rsid w:val="00E260D0"/>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5DB7"/>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7E0"/>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F4"/>
    <w:rsid w:val="00E60716"/>
    <w:rsid w:val="00E611B8"/>
    <w:rsid w:val="00E61949"/>
    <w:rsid w:val="00E61DED"/>
    <w:rsid w:val="00E62127"/>
    <w:rsid w:val="00E62C29"/>
    <w:rsid w:val="00E63243"/>
    <w:rsid w:val="00E6384E"/>
    <w:rsid w:val="00E63962"/>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9D6"/>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6C9"/>
    <w:rsid w:val="00E92BC1"/>
    <w:rsid w:val="00E930EC"/>
    <w:rsid w:val="00E941F4"/>
    <w:rsid w:val="00E9436D"/>
    <w:rsid w:val="00E94851"/>
    <w:rsid w:val="00E94A62"/>
    <w:rsid w:val="00E94DA6"/>
    <w:rsid w:val="00E9527A"/>
    <w:rsid w:val="00E95933"/>
    <w:rsid w:val="00E95BA7"/>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B00"/>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39"/>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1AC"/>
    <w:rsid w:val="00F207F7"/>
    <w:rsid w:val="00F20AAB"/>
    <w:rsid w:val="00F21324"/>
    <w:rsid w:val="00F21F72"/>
    <w:rsid w:val="00F2209F"/>
    <w:rsid w:val="00F22473"/>
    <w:rsid w:val="00F2319A"/>
    <w:rsid w:val="00F239A3"/>
    <w:rsid w:val="00F239D8"/>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F0F"/>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D29"/>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97A0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qFormat/>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uiPriority w:val="99"/>
    <w:semiHidden/>
    <w:rsid w:val="00F03224"/>
    <w:pPr>
      <w:overflowPunct/>
      <w:autoSpaceDE/>
      <w:autoSpaceDN/>
      <w:adjustRightInd/>
      <w:textAlignment w:val="auto"/>
    </w:pPr>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aliases w:val="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afff4">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21"/>
      </w:numPr>
    </w:pPr>
  </w:style>
  <w:style w:type="numbering" w:customStyle="1" w:styleId="CurrentList10">
    <w:name w:val="Current List10"/>
    <w:uiPriority w:val="99"/>
    <w:rsid w:val="007B0800"/>
    <w:pPr>
      <w:numPr>
        <w:numId w:val="22"/>
      </w:numPr>
    </w:pPr>
  </w:style>
  <w:style w:type="numbering" w:customStyle="1" w:styleId="CurrentList11">
    <w:name w:val="Current List11"/>
    <w:uiPriority w:val="99"/>
    <w:rsid w:val="003F5AB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2072444">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7907823">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5860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62639">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AF4901F-0611-4F43-B2A4-39897D59A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482</Words>
  <Characters>2753</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RAN4#110bis OPPO Roy</cp:lastModifiedBy>
  <cp:revision>3</cp:revision>
  <cp:lastPrinted>2016-08-05T18:54:00Z</cp:lastPrinted>
  <dcterms:created xsi:type="dcterms:W3CDTF">2024-04-07T09:47:00Z</dcterms:created>
  <dcterms:modified xsi:type="dcterms:W3CDTF">2024-04-08T09:55:00Z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